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overflowPunct w:val="false"/>
        <w:jc w:val="both"/>
        <w:rPr>
          <w:rFonts w:ascii="Times New Roman" w:hAnsi="Times New Roman" w:eastAsia="標楷體" w:cs="Times New Roman"/>
          <w:b/>
          <w:b/>
          <w:sz w:val="40"/>
          <w:szCs w:val="24"/>
        </w:rPr>
      </w:pPr>
      <w:r>
        <w:rPr>
          <w:rFonts w:ascii="Times New Roman" w:hAnsi="Times New Roman" w:cs="Times New Roman" w:eastAsia="標楷體"/>
          <w:b/>
          <w:sz w:val="40"/>
          <w:szCs w:val="24"/>
        </w:rPr>
        <w:t>臺灣國際學生創意設計大賽實施要點部分規定修正規定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overflowPunct w:val="false"/>
        <w:ind w:start="624" w:end="0" w:hanging="624"/>
        <w:rPr/>
      </w:pPr>
      <w:r>
        <w:rPr>
          <w:rStyle w:val="Style14"/>
          <w:rFonts w:ascii="標楷體" w:hAnsi="標楷體" w:cs="Times New Roman" w:eastAsia="標楷體"/>
          <w:szCs w:val="24"/>
        </w:rPr>
        <w:t>本獎參賽類別為產品設計類、視覺設計類</w:t>
      </w:r>
      <w:r>
        <w:rPr>
          <w:rStyle w:val="Style14"/>
          <w:rFonts w:ascii="標楷體" w:hAnsi="標楷體" w:cs="Times New Roman" w:eastAsia="標楷體"/>
          <w:color w:val="000000"/>
          <w:szCs w:val="24"/>
        </w:rPr>
        <w:t>、數位動畫類、建築與景觀設計類及時尚設計類五類。</w:t>
      </w:r>
    </w:p>
    <w:p>
      <w:pPr>
        <w:pStyle w:val="Style20"/>
        <w:widowControl w:val="false"/>
        <w:numPr>
          <w:ilvl w:val="0"/>
          <w:numId w:val="2"/>
        </w:numPr>
        <w:suppressAutoHyphens w:val="true"/>
        <w:overflowPunct w:val="false"/>
        <w:ind w:start="624" w:end="0" w:hanging="624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本部依參賽類別組成初選及決選評審小組，初選評審小組置委員十五人以上，遴聘國內不同設計領域之學者專家擔任，並分別自委員中指定五類別各一人為召集人。決選評審小組置委員十五人以上，遴聘國外設計學者專家十人以上及國內設計學者專家五人以上擔任，並分別自委員中指定五類別各一人為召集人。召集人因故未能召集時，由召集人指定委員一人代理之。</w:t>
      </w:r>
    </w:p>
    <w:p>
      <w:pPr>
        <w:pStyle w:val="Style20"/>
        <w:widowControl w:val="false"/>
        <w:suppressAutoHyphens w:val="true"/>
        <w:overflowPunct w:val="false"/>
        <w:ind w:start="624" w:end="0" w:firstLine="5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評審作業應秉公平、公正原則。初選及決選評審小組委員，均為無給職。</w:t>
      </w:r>
    </w:p>
    <w:p>
      <w:pPr>
        <w:pStyle w:val="Style20"/>
        <w:widowControl w:val="false"/>
        <w:numPr>
          <w:ilvl w:val="0"/>
          <w:numId w:val="3"/>
        </w:numPr>
        <w:suppressAutoHyphens w:val="true"/>
        <w:overflowPunct w:val="false"/>
        <w:ind w:start="454" w:end="0" w:hanging="454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本獎各類別之獎項如下：</w:t>
      </w:r>
    </w:p>
    <w:p>
      <w:pPr>
        <w:pStyle w:val="Style20"/>
        <w:widowControl w:val="false"/>
        <w:numPr>
          <w:ilvl w:val="0"/>
          <w:numId w:val="4"/>
        </w:numPr>
        <w:suppressAutoHyphens w:val="true"/>
        <w:overflowPunct w:val="false"/>
        <w:ind w:start="1417" w:end="0" w:hanging="794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年度大獎一名，頒發獎金新臺幣四十萬元，獎狀一紙。（跨五類別）</w:t>
      </w:r>
    </w:p>
    <w:p>
      <w:pPr>
        <w:pStyle w:val="Style20"/>
        <w:widowControl w:val="false"/>
        <w:numPr>
          <w:ilvl w:val="0"/>
          <w:numId w:val="4"/>
        </w:numPr>
        <w:suppressAutoHyphens w:val="true"/>
        <w:overflowPunct w:val="false"/>
        <w:ind w:start="1417" w:end="0" w:hanging="794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金獎一名：頒發獎金新臺幣二十五萬元，獎狀一紙。</w:t>
      </w:r>
    </w:p>
    <w:p>
      <w:pPr>
        <w:pStyle w:val="Style20"/>
        <w:widowControl w:val="false"/>
        <w:numPr>
          <w:ilvl w:val="0"/>
          <w:numId w:val="4"/>
        </w:numPr>
        <w:suppressAutoHyphens w:val="true"/>
        <w:overflowPunct w:val="false"/>
        <w:ind w:start="1417" w:end="0" w:hanging="794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銀獎一名：頒發獎金新臺幣十五萬元，獎狀一紙。</w:t>
      </w:r>
    </w:p>
    <w:p>
      <w:pPr>
        <w:pStyle w:val="Style20"/>
        <w:widowControl w:val="false"/>
        <w:numPr>
          <w:ilvl w:val="0"/>
          <w:numId w:val="4"/>
        </w:numPr>
        <w:suppressAutoHyphens w:val="true"/>
        <w:overflowPunct w:val="false"/>
        <w:ind w:start="1417" w:end="0" w:hanging="794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銅獎一名：頒發獎金新臺幣六萬元，獎狀一紙。</w:t>
      </w:r>
    </w:p>
    <w:p>
      <w:pPr>
        <w:pStyle w:val="Style20"/>
        <w:widowControl w:val="false"/>
        <w:numPr>
          <w:ilvl w:val="0"/>
          <w:numId w:val="4"/>
        </w:numPr>
        <w:suppressAutoHyphens w:val="true"/>
        <w:overflowPunct w:val="false"/>
        <w:ind w:start="1417" w:end="0" w:hanging="794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佳作若干名：頒發獎金新臺幣一萬元，獎狀一紙。</w:t>
      </w:r>
    </w:p>
    <w:p>
      <w:pPr>
        <w:pStyle w:val="Style20"/>
        <w:widowControl w:val="false"/>
        <w:numPr>
          <w:ilvl w:val="0"/>
          <w:numId w:val="4"/>
        </w:numPr>
        <w:suppressAutoHyphens w:val="true"/>
        <w:overflowPunct w:val="false"/>
        <w:ind w:start="1417" w:end="0" w:hanging="794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贊助單位特別獎若干名：頒發獎金以不超過金獎之金額為原則，獎狀一紙。</w:t>
      </w:r>
    </w:p>
    <w:p>
      <w:pPr>
        <w:pStyle w:val="Style17"/>
        <w:widowControl w:val="false"/>
        <w:suppressAutoHyphens w:val="true"/>
        <w:overflowPunct w:val="false"/>
        <w:ind w:start="624" w:end="0" w:firstLine="5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前項各獎項經決選評審小組決議，得從缺或調整，同一作品於同一年度曾於本部「鼓勵學生參加藝術與設計類國際競賽」之表列競賽項目中獲獎者，由決選評審小組擇優核定獎勵金額，不受前項獎金額度限制。</w:t>
      </w:r>
    </w:p>
    <w:p>
      <w:pPr>
        <w:pStyle w:val="Style17"/>
        <w:widowControl w:val="false"/>
        <w:suppressAutoHyphens w:val="true"/>
        <w:overflowPunct w:val="false"/>
        <w:ind w:start="624" w:end="0" w:firstLine="5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本獎獎狀以本部部長名義頒發，並擇期於公開場合頒獎表揚之。</w:t>
      </w:r>
    </w:p>
    <w:p>
      <w:pPr>
        <w:pStyle w:val="Style20"/>
        <w:widowControl w:val="false"/>
        <w:numPr>
          <w:ilvl w:val="0"/>
          <w:numId w:val="5"/>
        </w:numPr>
        <w:suppressAutoHyphens w:val="true"/>
        <w:overflowPunct w:val="false"/>
        <w:ind w:start="850" w:end="0" w:hanging="85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參賽者及其作品有下列情事之一，經查證屬實者，取消參賽資格；於評選完成後發現者，撤銷得獎資格，並追回已領之獎狀及獎金：</w:t>
      </w:r>
    </w:p>
    <w:p>
      <w:pPr>
        <w:pStyle w:val="Style20"/>
        <w:widowControl w:val="false"/>
        <w:numPr>
          <w:ilvl w:val="0"/>
          <w:numId w:val="7"/>
        </w:numPr>
        <w:suppressAutoHyphens w:val="true"/>
        <w:overflowPunct w:val="false"/>
        <w:ind w:start="1587" w:end="0" w:hanging="794"/>
        <w:rPr>
          <w:rFonts w:eastAsia="標楷體"/>
        </w:rPr>
      </w:pPr>
      <w:r>
        <w:rPr>
          <w:rFonts w:eastAsia="標楷體"/>
        </w:rPr>
        <w:t>未符合第三點至第五點規定。</w:t>
      </w:r>
    </w:p>
    <w:p>
      <w:pPr>
        <w:pStyle w:val="Style20"/>
        <w:widowControl w:val="false"/>
        <w:numPr>
          <w:ilvl w:val="0"/>
          <w:numId w:val="7"/>
        </w:numPr>
        <w:suppressAutoHyphens w:val="true"/>
        <w:overflowPunct w:val="false"/>
        <w:ind w:start="1587" w:end="0" w:hanging="794"/>
        <w:rPr>
          <w:rFonts w:eastAsia="標楷體"/>
        </w:rPr>
      </w:pPr>
      <w:r>
        <w:rPr>
          <w:rFonts w:eastAsia="標楷體"/>
        </w:rPr>
        <w:t>得獎作品其後續商品化及行銷行為，有損害本獎之形象或精神。</w:t>
      </w:r>
    </w:p>
    <w:p>
      <w:pPr>
        <w:pStyle w:val="Style20"/>
        <w:widowControl w:val="false"/>
        <w:numPr>
          <w:ilvl w:val="0"/>
          <w:numId w:val="7"/>
        </w:numPr>
        <w:suppressAutoHyphens w:val="true"/>
        <w:overflowPunct w:val="false"/>
        <w:ind w:start="1587" w:end="0" w:hanging="794"/>
        <w:rPr>
          <w:rFonts w:eastAsia="標楷體"/>
        </w:rPr>
      </w:pPr>
      <w:r>
        <w:rPr>
          <w:rFonts w:eastAsia="標楷體"/>
        </w:rPr>
        <w:t>得獎者有請託、關說、利誘、威脅或其他干擾評審委員或評審程序，經評審小組審議後認情節嚴重。</w:t>
      </w:r>
    </w:p>
    <w:sectPr>
      <w:type w:val="nextPage"/>
      <w:pgSz w:w="11906" w:h="16838"/>
      <w:pgMar w:left="1701" w:right="1800" w:header="0" w:top="1440" w:footer="0" w:bottom="1440" w:gutter="0"/>
      <w:pgNumType w:fmt="decimal"/>
      <w:formProt w:val="false"/>
      <w:textDirection w:val="lrTb"/>
      <w:docGrid w:type="lines" w:linePitch="4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Times New Roman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taiwaneseCountingThousand"/>
      <w:suff w:val="space"/>
      <w:lvlText w:val="%1、"/>
      <w:lvlJc w:val="start"/>
      <w:pPr>
        <w:ind w:start="480" w:hanging="480"/>
      </w:pPr>
      <w:rPr>
        <w:rFonts w:ascii="標楷體" w:hAnsi="標楷體" w:eastAsia="標楷體"/>
      </w:rPr>
    </w:lvl>
    <w:lvl w:ilvl="1">
      <w:start w:val="1"/>
      <w:numFmt w:val="ideographTraditional"/>
      <w:lvlText w:val="%2、"/>
      <w:lvlJc w:val="start"/>
      <w:pPr>
        <w:ind w:start="960" w:hanging="480"/>
      </w:pPr>
    </w:lvl>
    <w:lvl w:ilvl="2">
      <w:start w:val="1"/>
      <w:numFmt w:val="lowerRoman"/>
      <w:lvlText w:val="%3."/>
      <w:lvlJc w:val="end"/>
      <w:pPr>
        <w:ind w:start="1440" w:hanging="480"/>
      </w:pPr>
    </w:lvl>
    <w:lvl w:ilvl="3">
      <w:start w:val="1"/>
      <w:numFmt w:val="decimal"/>
      <w:lvlText w:val="%4."/>
      <w:lvlJc w:val="start"/>
      <w:pPr>
        <w:ind w:start="1920" w:hanging="480"/>
      </w:pPr>
    </w:lvl>
    <w:lvl w:ilvl="4">
      <w:start w:val="1"/>
      <w:numFmt w:val="ideographTraditional"/>
      <w:lvlText w:val="%5、"/>
      <w:lvlJc w:val="start"/>
      <w:pPr>
        <w:ind w:start="2400" w:hanging="480"/>
      </w:pPr>
    </w:lvl>
    <w:lvl w:ilvl="5">
      <w:start w:val="1"/>
      <w:numFmt w:val="lowerRoman"/>
      <w:lvlText w:val="%6."/>
      <w:lvlJc w:val="end"/>
      <w:pPr>
        <w:ind w:start="2880" w:hanging="480"/>
      </w:pPr>
    </w:lvl>
    <w:lvl w:ilvl="6">
      <w:start w:val="1"/>
      <w:numFmt w:val="decimal"/>
      <w:lvlText w:val="%7."/>
      <w:lvlJc w:val="start"/>
      <w:pPr>
        <w:ind w:start="3360" w:hanging="480"/>
      </w:pPr>
    </w:lvl>
    <w:lvl w:ilvl="7">
      <w:start w:val="1"/>
      <w:numFmt w:val="ideographTraditional"/>
      <w:lvlText w:val="%8、"/>
      <w:lvlJc w:val="start"/>
      <w:pPr>
        <w:ind w:start="3840" w:hanging="480"/>
      </w:pPr>
    </w:lvl>
    <w:lvl w:ilvl="8">
      <w:start w:val="1"/>
      <w:numFmt w:val="lowerRoman"/>
      <w:lvlText w:val="%9."/>
      <w:lvlJc w:val="end"/>
      <w:pPr>
        <w:ind w:start="4320" w:hanging="480"/>
      </w:pPr>
    </w:lvl>
  </w:abstractNum>
  <w:abstractNum w:abstractNumId="2">
    <w:lvl w:ilvl="0">
      <w:start w:val="6"/>
      <w:numFmt w:val="taiwaneseCountingThousand"/>
      <w:suff w:val="space"/>
      <w:lvlText w:val="%1、"/>
      <w:lvlJc w:val="start"/>
      <w:pPr>
        <w:ind w:start="480" w:hanging="480"/>
      </w:pPr>
      <w:rPr>
        <w:rFonts w:ascii="標楷體" w:hAnsi="標楷體" w:eastAsia="標楷體"/>
      </w:rPr>
    </w:lvl>
    <w:lvl w:ilvl="1">
      <w:start w:val="1"/>
      <w:numFmt w:val="ideographTraditional"/>
      <w:lvlText w:val="%2、"/>
      <w:lvlJc w:val="start"/>
      <w:pPr>
        <w:ind w:start="960" w:hanging="480"/>
      </w:pPr>
    </w:lvl>
    <w:lvl w:ilvl="2">
      <w:start w:val="1"/>
      <w:numFmt w:val="lowerRoman"/>
      <w:lvlText w:val="%3."/>
      <w:lvlJc w:val="end"/>
      <w:pPr>
        <w:ind w:start="1440" w:hanging="480"/>
      </w:pPr>
    </w:lvl>
    <w:lvl w:ilvl="3">
      <w:start w:val="1"/>
      <w:numFmt w:val="decimal"/>
      <w:lvlText w:val="%4."/>
      <w:lvlJc w:val="start"/>
      <w:pPr>
        <w:ind w:start="1920" w:hanging="480"/>
      </w:pPr>
    </w:lvl>
    <w:lvl w:ilvl="4">
      <w:start w:val="1"/>
      <w:numFmt w:val="ideographTraditional"/>
      <w:lvlText w:val="%5、"/>
      <w:lvlJc w:val="start"/>
      <w:pPr>
        <w:ind w:start="2400" w:hanging="480"/>
      </w:pPr>
    </w:lvl>
    <w:lvl w:ilvl="5">
      <w:start w:val="1"/>
      <w:numFmt w:val="lowerRoman"/>
      <w:lvlText w:val="%6."/>
      <w:lvlJc w:val="end"/>
      <w:pPr>
        <w:ind w:start="2880" w:hanging="480"/>
      </w:pPr>
    </w:lvl>
    <w:lvl w:ilvl="6">
      <w:start w:val="1"/>
      <w:numFmt w:val="decimal"/>
      <w:lvlText w:val="%7."/>
      <w:lvlJc w:val="start"/>
      <w:pPr>
        <w:ind w:start="3360" w:hanging="480"/>
      </w:pPr>
    </w:lvl>
    <w:lvl w:ilvl="7">
      <w:start w:val="1"/>
      <w:numFmt w:val="ideographTraditional"/>
      <w:lvlText w:val="%8、"/>
      <w:lvlJc w:val="start"/>
      <w:pPr>
        <w:ind w:start="3840" w:hanging="480"/>
      </w:pPr>
    </w:lvl>
    <w:lvl w:ilvl="8">
      <w:start w:val="1"/>
      <w:numFmt w:val="lowerRoman"/>
      <w:lvlText w:val="%9."/>
      <w:lvlJc w:val="end"/>
      <w:pPr>
        <w:ind w:start="4320" w:hanging="480"/>
      </w:pPr>
    </w:lvl>
  </w:abstractNum>
  <w:abstractNum w:abstractNumId="3">
    <w:lvl w:ilvl="0">
      <w:start w:val="9"/>
      <w:numFmt w:val="taiwaneseCountingThousand"/>
      <w:suff w:val="space"/>
      <w:lvlText w:val="%1、"/>
      <w:lvlJc w:val="start"/>
      <w:pPr>
        <w:ind w:start="480" w:hanging="480"/>
      </w:pPr>
      <w:rPr>
        <w:rFonts w:ascii="標楷體" w:hAnsi="標楷體" w:eastAsia="標楷體"/>
      </w:rPr>
    </w:lvl>
    <w:lvl w:ilvl="1">
      <w:start w:val="1"/>
      <w:numFmt w:val="ideographTraditional"/>
      <w:lvlText w:val="%2、"/>
      <w:lvlJc w:val="start"/>
      <w:pPr>
        <w:ind w:start="960" w:hanging="480"/>
      </w:pPr>
    </w:lvl>
    <w:lvl w:ilvl="2">
      <w:start w:val="1"/>
      <w:numFmt w:val="lowerRoman"/>
      <w:lvlText w:val="%3."/>
      <w:lvlJc w:val="end"/>
      <w:pPr>
        <w:ind w:start="1440" w:hanging="480"/>
      </w:pPr>
    </w:lvl>
    <w:lvl w:ilvl="3">
      <w:start w:val="1"/>
      <w:numFmt w:val="decimal"/>
      <w:lvlText w:val="%4."/>
      <w:lvlJc w:val="start"/>
      <w:pPr>
        <w:ind w:start="1920" w:hanging="480"/>
      </w:pPr>
    </w:lvl>
    <w:lvl w:ilvl="4">
      <w:start w:val="1"/>
      <w:numFmt w:val="ideographTraditional"/>
      <w:lvlText w:val="%5、"/>
      <w:lvlJc w:val="start"/>
      <w:pPr>
        <w:ind w:start="2400" w:hanging="480"/>
      </w:pPr>
    </w:lvl>
    <w:lvl w:ilvl="5">
      <w:start w:val="1"/>
      <w:numFmt w:val="lowerRoman"/>
      <w:lvlText w:val="%6."/>
      <w:lvlJc w:val="end"/>
      <w:pPr>
        <w:ind w:start="2880" w:hanging="480"/>
      </w:pPr>
    </w:lvl>
    <w:lvl w:ilvl="6">
      <w:start w:val="1"/>
      <w:numFmt w:val="decimal"/>
      <w:lvlText w:val="%7."/>
      <w:lvlJc w:val="start"/>
      <w:pPr>
        <w:ind w:start="3360" w:hanging="480"/>
      </w:pPr>
    </w:lvl>
    <w:lvl w:ilvl="7">
      <w:start w:val="1"/>
      <w:numFmt w:val="ideographTraditional"/>
      <w:lvlText w:val="%8、"/>
      <w:lvlJc w:val="start"/>
      <w:pPr>
        <w:ind w:start="3840" w:hanging="480"/>
      </w:pPr>
    </w:lvl>
    <w:lvl w:ilvl="8">
      <w:start w:val="1"/>
      <w:numFmt w:val="lowerRoman"/>
      <w:lvlText w:val="%9."/>
      <w:lvlJc w:val="end"/>
      <w:pPr>
        <w:ind w:start="4320" w:hanging="480"/>
      </w:pPr>
    </w:lvl>
  </w:abstractNum>
  <w:abstractNum w:abstractNumId="4">
    <w:lvl w:ilvl="0">
      <w:start w:val="1"/>
      <w:numFmt w:val="taiwaneseCountingThousand"/>
      <w:lvlText w:val="（%1）"/>
      <w:lvlJc w:val="start"/>
      <w:pPr>
        <w:ind w:start="1200" w:hanging="720"/>
      </w:pPr>
    </w:lvl>
    <w:lvl w:ilvl="1">
      <w:start w:val="1"/>
      <w:numFmt w:val="ideographTraditional"/>
      <w:lvlText w:val="%2、"/>
      <w:lvlJc w:val="start"/>
      <w:pPr>
        <w:ind w:start="1440" w:hanging="480"/>
      </w:pPr>
    </w:lvl>
    <w:lvl w:ilvl="2">
      <w:start w:val="1"/>
      <w:numFmt w:val="lowerRoman"/>
      <w:lvlText w:val="%3."/>
      <w:lvlJc w:val="end"/>
      <w:pPr>
        <w:ind w:start="1920" w:hanging="480"/>
      </w:pPr>
    </w:lvl>
    <w:lvl w:ilvl="3">
      <w:start w:val="1"/>
      <w:numFmt w:val="decimal"/>
      <w:lvlText w:val="%4."/>
      <w:lvlJc w:val="start"/>
      <w:pPr>
        <w:ind w:start="2400" w:hanging="480"/>
      </w:pPr>
    </w:lvl>
    <w:lvl w:ilvl="4">
      <w:start w:val="1"/>
      <w:numFmt w:val="ideographTraditional"/>
      <w:lvlText w:val="%5、"/>
      <w:lvlJc w:val="start"/>
      <w:pPr>
        <w:ind w:start="2880" w:hanging="480"/>
      </w:pPr>
    </w:lvl>
    <w:lvl w:ilvl="5">
      <w:start w:val="1"/>
      <w:numFmt w:val="lowerRoman"/>
      <w:lvlText w:val="%6."/>
      <w:lvlJc w:val="end"/>
      <w:pPr>
        <w:ind w:start="3360" w:hanging="480"/>
      </w:pPr>
    </w:lvl>
    <w:lvl w:ilvl="6">
      <w:start w:val="1"/>
      <w:numFmt w:val="decimal"/>
      <w:lvlText w:val="%7."/>
      <w:lvlJc w:val="start"/>
      <w:pPr>
        <w:ind w:start="3840" w:hanging="480"/>
      </w:pPr>
    </w:lvl>
    <w:lvl w:ilvl="7">
      <w:start w:val="1"/>
      <w:numFmt w:val="ideographTraditional"/>
      <w:lvlText w:val="%8、"/>
      <w:lvlJc w:val="start"/>
      <w:pPr>
        <w:ind w:start="4320" w:hanging="480"/>
      </w:pPr>
    </w:lvl>
    <w:lvl w:ilvl="8">
      <w:start w:val="1"/>
      <w:numFmt w:val="lowerRoman"/>
      <w:lvlText w:val="%9."/>
      <w:lvlJc w:val="end"/>
      <w:pPr>
        <w:ind w:start="4800" w:hanging="480"/>
      </w:pPr>
    </w:lvl>
  </w:abstractNum>
  <w:abstractNum w:abstractNumId="5">
    <w:lvl w:ilvl="0">
      <w:start w:val="11"/>
      <w:numFmt w:val="taiwaneseCountingThousand"/>
      <w:suff w:val="space"/>
      <w:lvlText w:val="%1、"/>
      <w:lvlJc w:val="start"/>
      <w:pPr>
        <w:ind w:start="480" w:hanging="480"/>
      </w:pPr>
      <w:rPr>
        <w:rFonts w:ascii="標楷體" w:hAnsi="標楷體" w:eastAsia="標楷體"/>
      </w:rPr>
    </w:lvl>
    <w:lvl w:ilvl="1">
      <w:start w:val="1"/>
      <w:numFmt w:val="ideographTraditional"/>
      <w:lvlText w:val="%2、"/>
      <w:lvlJc w:val="start"/>
      <w:pPr>
        <w:ind w:start="960" w:hanging="480"/>
      </w:pPr>
    </w:lvl>
    <w:lvl w:ilvl="2">
      <w:start w:val="1"/>
      <w:numFmt w:val="lowerRoman"/>
      <w:lvlText w:val="%3."/>
      <w:lvlJc w:val="end"/>
      <w:pPr>
        <w:ind w:start="1440" w:hanging="480"/>
      </w:pPr>
    </w:lvl>
    <w:lvl w:ilvl="3">
      <w:start w:val="1"/>
      <w:numFmt w:val="decimal"/>
      <w:lvlText w:val="%4."/>
      <w:lvlJc w:val="start"/>
      <w:pPr>
        <w:ind w:start="1920" w:hanging="480"/>
      </w:pPr>
    </w:lvl>
    <w:lvl w:ilvl="4">
      <w:start w:val="1"/>
      <w:numFmt w:val="ideographTraditional"/>
      <w:lvlText w:val="%5、"/>
      <w:lvlJc w:val="start"/>
      <w:pPr>
        <w:ind w:start="2400" w:hanging="480"/>
      </w:pPr>
    </w:lvl>
    <w:lvl w:ilvl="5">
      <w:start w:val="1"/>
      <w:numFmt w:val="lowerRoman"/>
      <w:lvlText w:val="%6."/>
      <w:lvlJc w:val="end"/>
      <w:pPr>
        <w:ind w:start="2880" w:hanging="480"/>
      </w:pPr>
    </w:lvl>
    <w:lvl w:ilvl="6">
      <w:start w:val="1"/>
      <w:numFmt w:val="decimal"/>
      <w:lvlText w:val="%7."/>
      <w:lvlJc w:val="start"/>
      <w:pPr>
        <w:ind w:start="3360" w:hanging="480"/>
      </w:pPr>
    </w:lvl>
    <w:lvl w:ilvl="7">
      <w:start w:val="1"/>
      <w:numFmt w:val="ideographTraditional"/>
      <w:lvlText w:val="%8、"/>
      <w:lvlJc w:val="start"/>
      <w:pPr>
        <w:ind w:start="3840" w:hanging="480"/>
      </w:pPr>
    </w:lvl>
    <w:lvl w:ilvl="8">
      <w:start w:val="1"/>
      <w:numFmt w:val="lowerRoman"/>
      <w:lvlText w:val="%9."/>
      <w:lvlJc w:val="end"/>
      <w:pPr>
        <w:ind w:start="4320" w:hanging="48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abstractNum w:abstractNumId="7">
    <w:lvl w:ilvl="0">
      <w:start w:val="1"/>
      <w:numFmt w:val="taiwaneseCountingThousand"/>
      <w:lvlText w:val="（%1）"/>
      <w:lvlJc w:val="start"/>
      <w:pPr>
        <w:ind w:start="1200" w:hanging="720"/>
      </w:pPr>
    </w:lvl>
    <w:lvl w:ilvl="1">
      <w:start w:val="1"/>
      <w:numFmt w:val="ideographTraditional"/>
      <w:lvlText w:val="%2、"/>
      <w:lvlJc w:val="start"/>
      <w:pPr>
        <w:ind w:start="1440" w:hanging="480"/>
      </w:pPr>
    </w:lvl>
    <w:lvl w:ilvl="2">
      <w:start w:val="1"/>
      <w:numFmt w:val="lowerRoman"/>
      <w:lvlText w:val="%3."/>
      <w:lvlJc w:val="end"/>
      <w:pPr>
        <w:ind w:start="1920" w:hanging="480"/>
      </w:pPr>
    </w:lvl>
    <w:lvl w:ilvl="3">
      <w:start w:val="1"/>
      <w:numFmt w:val="decimal"/>
      <w:lvlText w:val="%4."/>
      <w:lvlJc w:val="start"/>
      <w:pPr>
        <w:ind w:start="2400" w:hanging="480"/>
      </w:pPr>
    </w:lvl>
    <w:lvl w:ilvl="4">
      <w:start w:val="1"/>
      <w:numFmt w:val="ideographTraditional"/>
      <w:lvlText w:val="%5、"/>
      <w:lvlJc w:val="start"/>
      <w:pPr>
        <w:ind w:start="2880" w:hanging="480"/>
      </w:pPr>
    </w:lvl>
    <w:lvl w:ilvl="5">
      <w:start w:val="1"/>
      <w:numFmt w:val="lowerRoman"/>
      <w:lvlText w:val="%6."/>
      <w:lvlJc w:val="end"/>
      <w:pPr>
        <w:ind w:start="3360" w:hanging="480"/>
      </w:pPr>
    </w:lvl>
    <w:lvl w:ilvl="6">
      <w:start w:val="1"/>
      <w:numFmt w:val="decimal"/>
      <w:lvlText w:val="%7."/>
      <w:lvlJc w:val="start"/>
      <w:pPr>
        <w:ind w:start="3840" w:hanging="480"/>
      </w:pPr>
    </w:lvl>
    <w:lvl w:ilvl="7">
      <w:start w:val="1"/>
      <w:numFmt w:val="ideographTraditional"/>
      <w:lvlText w:val="%8、"/>
      <w:lvlJc w:val="start"/>
      <w:pPr>
        <w:ind w:start="4320" w:hanging="480"/>
      </w:pPr>
    </w:lvl>
    <w:lvl w:ilvl="8">
      <w:start w:val="1"/>
      <w:numFmt w:val="lowerRoman"/>
      <w:lvlText w:val="%9."/>
      <w:lvlJc w:val="end"/>
      <w:pPr>
        <w:ind w:start="480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sz w:val="20"/>
      <w:szCs w:val="20"/>
    </w:rPr>
  </w:style>
  <w:style w:type="character" w:styleId="Style16">
    <w:name w:val="頁尾 字元"/>
    <w:basedOn w:val="Style14"/>
    <w:qFormat/>
    <w:rPr>
      <w:sz w:val="20"/>
      <w:szCs w:val="20"/>
    </w:rPr>
  </w:style>
  <w:style w:type="character" w:styleId="WWCharLFO1LVL1">
    <w:name w:val="WW_CharLFO1LVL1"/>
    <w:qFormat/>
    <w:rPr>
      <w:rFonts w:ascii="標楷體" w:hAnsi="標楷體" w:eastAsia="標楷體"/>
    </w:rPr>
  </w:style>
  <w:style w:type="character" w:styleId="WWCharLFO10LVL1">
    <w:name w:val="WW_CharLFO10LVL1"/>
    <w:qFormat/>
    <w:rPr>
      <w:rFonts w:ascii="標楷體" w:hAnsi="標楷體" w:eastAsia="標楷體"/>
    </w:rPr>
  </w:style>
  <w:style w:type="character" w:styleId="WWCharLFO11LVL1">
    <w:name w:val="WW_CharLFO11LVL1"/>
    <w:qFormat/>
    <w:rPr>
      <w:rFonts w:ascii="標楷體" w:hAnsi="標楷體" w:eastAsia="標楷體"/>
    </w:rPr>
  </w:style>
  <w:style w:type="character" w:styleId="WWCharLFO12LVL1">
    <w:name w:val="WW_CharLFO12LVL1"/>
    <w:qFormat/>
    <w:rPr>
      <w:rFonts w:ascii="標楷體" w:hAnsi="標楷體" w:eastAsia="標楷體"/>
    </w:rPr>
  </w:style>
  <w:style w:type="paragraph" w:styleId="Style17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18">
    <w:name w:val="Head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9">
    <w:name w:val="Foot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清單段落"/>
    <w:basedOn w:val="Style17"/>
    <w:qFormat/>
    <w:pPr>
      <w:suppressAutoHyphens w:val="true"/>
      <w:ind w:start="480" w:end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LibreOffice/5.4.1.2$Windows_x86 LibreOffice_project/ea7cb86e6eeb2bf3a5af73a8f7777ac570321527</Application>
  <Pages>1</Pages>
  <Words>721</Words>
  <Characters>721</Characters>
  <CharactersWithSpaces>721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2025-01-15T06:01:00Z</dcterms:created>
  <dc:creator>王鈺馨</dc:creator>
  <dc:description/>
  <dc:language>zh-TW</dc:language>
  <cp:lastModifiedBy/>
  <dcterms:modified xsi:type="dcterms:W3CDTF">2025-01-16T12:07:51Z</dcterms:modified>
  <cp:revision>5</cp:revision>
  <dc:subject/>
  <dc:title/>
</cp:coreProperties>
</file>