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7195" w14:textId="1E40FCF6" w:rsidR="00DC704A" w:rsidRPr="008E64CE" w:rsidRDefault="008144D8">
      <w:pPr>
        <w:spacing w:line="0" w:lineRule="atLeast"/>
        <w:ind w:firstLineChars="100" w:firstLine="360"/>
        <w:jc w:val="both"/>
        <w:rPr>
          <w:rFonts w:eastAsia="標楷體"/>
          <w:sz w:val="36"/>
        </w:rPr>
      </w:pPr>
      <w:bookmarkStart w:id="0" w:name="_GoBack"/>
      <w:bookmarkEnd w:id="0"/>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p w14:paraId="0FE39682" w14:textId="77777777" w:rsidR="00DC704A" w:rsidRPr="008E64CE" w:rsidRDefault="00DC704A">
      <w:pPr>
        <w:spacing w:line="0" w:lineRule="atLeast"/>
        <w:jc w:val="center"/>
        <w:rPr>
          <w:rFonts w:eastAsia="標楷體"/>
          <w:b/>
          <w:bCs/>
          <w:sz w:val="44"/>
        </w:rPr>
      </w:pPr>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0"/>
        </w:rPr>
        <w:t>國中教育會考成績通知單</w:t>
      </w:r>
      <w:r w:rsidRPr="003D401A">
        <w:rPr>
          <w:rStyle w:val="30"/>
          <w:rFonts w:hint="eastAsia"/>
        </w:rPr>
        <w:t>或</w:t>
      </w:r>
      <w:r w:rsidRPr="003D401A">
        <w:rPr>
          <w:rStyle w:val="30"/>
        </w:rPr>
        <w:t>在校三年成績單</w:t>
      </w:r>
      <w:r w:rsidR="004A5940" w:rsidRPr="003D401A">
        <w:rPr>
          <w:rStyle w:val="30"/>
          <w:rFonts w:hint="eastAsia"/>
        </w:rPr>
        <w:t>掃描檔</w:t>
      </w:r>
      <w:r w:rsidRPr="003D401A">
        <w:rPr>
          <w:rStyle w:val="30"/>
        </w:rPr>
        <w:t>。</w:t>
      </w:r>
      <w:r w:rsidRPr="003D401A">
        <w:rPr>
          <w:rStyle w:val="30"/>
        </w:rPr>
        <w:t>(</w:t>
      </w:r>
      <w:r w:rsidRPr="003D401A">
        <w:rPr>
          <w:rStyle w:val="30"/>
          <w:rFonts w:hint="eastAsia"/>
        </w:rPr>
        <w:t>會考成績單</w:t>
      </w:r>
      <w:r w:rsidRPr="003D401A">
        <w:rPr>
          <w:rStyle w:val="30"/>
        </w:rPr>
        <w:t>如無則免</w:t>
      </w:r>
      <w:r w:rsidRPr="003D401A">
        <w:rPr>
          <w:rStyle w:val="30"/>
          <w:rFonts w:hint="eastAsia"/>
        </w:rPr>
        <w:t>，請傳</w:t>
      </w:r>
      <w:r w:rsidR="00BD0423" w:rsidRPr="003D401A">
        <w:rPr>
          <w:rStyle w:val="30"/>
          <w:rFonts w:hint="eastAsia"/>
        </w:rPr>
        <w:t>在校</w:t>
      </w:r>
      <w:r w:rsidRPr="003D401A">
        <w:rPr>
          <w:rStyle w:val="30"/>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0"/>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7D5D" w14:textId="77777777" w:rsidR="00BA6BBC" w:rsidRDefault="00BA6BBC">
      <w:r>
        <w:separator/>
      </w:r>
    </w:p>
  </w:endnote>
  <w:endnote w:type="continuationSeparator" w:id="0">
    <w:p w14:paraId="3BA1439E" w14:textId="77777777" w:rsidR="00BA6BBC" w:rsidRDefault="00BA6BBC">
      <w:r>
        <w:continuationSeparator/>
      </w:r>
    </w:p>
  </w:endnote>
  <w:endnote w:type="continuationNotice" w:id="1">
    <w:p w14:paraId="42458724" w14:textId="77777777" w:rsidR="00BA6BBC" w:rsidRDefault="00BA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CB58" w14:textId="70D168A1"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5638">
      <w:rPr>
        <w:rStyle w:val="a5"/>
        <w:noProof/>
      </w:rPr>
      <w:t>1</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B288" w14:textId="77777777" w:rsidR="00BA6BBC" w:rsidRDefault="00BA6BBC">
      <w:r>
        <w:separator/>
      </w:r>
    </w:p>
  </w:footnote>
  <w:footnote w:type="continuationSeparator" w:id="0">
    <w:p w14:paraId="4E05EEE7" w14:textId="77777777" w:rsidR="00BA6BBC" w:rsidRDefault="00BA6BBC">
      <w:r>
        <w:continuationSeparator/>
      </w:r>
    </w:p>
  </w:footnote>
  <w:footnote w:type="continuationNotice" w:id="1">
    <w:p w14:paraId="3D27F4DF" w14:textId="77777777" w:rsidR="00BA6BBC" w:rsidRDefault="00BA6B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20317"/>
    <w:rsid w:val="00B32D00"/>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UnresolvedMention">
    <w:name w:val="Unresolved Mention"/>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
    <w:name w:val="階層3"/>
    <w:basedOn w:val="23"/>
    <w:link w:val="30"/>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0">
    <w:name w:val="階層3 字元"/>
    <w:basedOn w:val="a0"/>
    <w:link w:val="3"/>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admin</cp:lastModifiedBy>
  <cp:revision>2</cp:revision>
  <cp:lastPrinted>2021-08-10T02:49:00Z</cp:lastPrinted>
  <dcterms:created xsi:type="dcterms:W3CDTF">2024-07-26T08:29:00Z</dcterms:created>
  <dcterms:modified xsi:type="dcterms:W3CDTF">2024-07-26T08:29:00Z</dcterms:modified>
</cp:coreProperties>
</file>