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FF" w:rsidRDefault="00DF3EFF" w:rsidP="00DF3EFF">
      <w:pPr>
        <w:snapToGrid w:val="0"/>
        <w:jc w:val="center"/>
        <w:rPr>
          <w:rFonts w:ascii="華康超明體(P)" w:eastAsia="華康超明體(P)"/>
          <w:sz w:val="36"/>
        </w:rPr>
      </w:pPr>
      <w:r>
        <w:rPr>
          <w:rFonts w:ascii="華康超明體(P)" w:eastAsia="華康超明體(P)" w:hint="eastAsia"/>
          <w:sz w:val="36"/>
        </w:rPr>
        <w:t>嘉義市私立興華高級中學圖書館第</w:t>
      </w:r>
      <w:r w:rsidR="006614F6">
        <w:rPr>
          <w:rFonts w:ascii="華康超明體(P)" w:eastAsia="華康超明體(P)" w:hint="eastAsia"/>
          <w:sz w:val="36"/>
        </w:rPr>
        <w:t>118</w:t>
      </w:r>
      <w:r>
        <w:rPr>
          <w:rFonts w:ascii="華康超明體(P)" w:eastAsia="華康超明體(P)" w:hint="eastAsia"/>
          <w:sz w:val="36"/>
        </w:rPr>
        <w:t>期【好書週報】</w:t>
      </w:r>
    </w:p>
    <w:p w:rsidR="00DF3EFF" w:rsidRDefault="00DF3EFF" w:rsidP="00DF3EFF">
      <w:pPr>
        <w:snapToGrid w:val="0"/>
        <w:spacing w:beforeLines="50" w:before="180" w:afterLines="50" w:after="180"/>
        <w:jc w:val="center"/>
        <w:rPr>
          <w:rFonts w:ascii="華康超明體(P)" w:eastAsia="華康超明體(P)"/>
          <w:color w:val="000000"/>
          <w:sz w:val="36"/>
        </w:rPr>
      </w:pPr>
      <w:r>
        <w:rPr>
          <w:rFonts w:ascii="華康超明體(P)" w:eastAsia="華康超明體(P)" w:hint="eastAsia"/>
          <w:color w:val="000000"/>
          <w:sz w:val="36"/>
        </w:rPr>
        <w:t>發行日期：103年</w:t>
      </w:r>
      <w:r w:rsidR="006614F6">
        <w:rPr>
          <w:rFonts w:ascii="華康超明體(P)" w:eastAsia="華康超明體(P)" w:hint="eastAsia"/>
          <w:color w:val="000000"/>
          <w:sz w:val="36"/>
        </w:rPr>
        <w:t>12</w:t>
      </w:r>
      <w:r>
        <w:rPr>
          <w:rFonts w:ascii="華康超明體(P)" w:eastAsia="華康超明體(P)" w:hint="eastAsia"/>
          <w:color w:val="000000"/>
          <w:sz w:val="36"/>
        </w:rPr>
        <w:t>月</w:t>
      </w:r>
      <w:r w:rsidR="006614F6">
        <w:rPr>
          <w:rFonts w:ascii="華康超明體(P)" w:eastAsia="華康超明體(P)" w:hint="eastAsia"/>
          <w:color w:val="000000"/>
          <w:sz w:val="36"/>
        </w:rPr>
        <w:t>15</w:t>
      </w:r>
      <w:r>
        <w:rPr>
          <w:rFonts w:ascii="華康超明體(P)" w:eastAsia="華康超明體(P)" w:hint="eastAsia"/>
          <w:color w:val="000000"/>
          <w:sz w:val="36"/>
        </w:rPr>
        <w:t>日</w:t>
      </w:r>
    </w:p>
    <w:tbl>
      <w:tblPr>
        <w:tblStyle w:val="a3"/>
        <w:tblW w:w="9498" w:type="dxa"/>
        <w:tblInd w:w="-318" w:type="dxa"/>
        <w:tblLayout w:type="fixed"/>
        <w:tblLook w:val="04A0" w:firstRow="1" w:lastRow="0" w:firstColumn="1" w:lastColumn="0" w:noHBand="0" w:noVBand="1"/>
      </w:tblPr>
      <w:tblGrid>
        <w:gridCol w:w="2978"/>
        <w:gridCol w:w="6520"/>
      </w:tblGrid>
      <w:tr w:rsidR="00DF3EFF" w:rsidTr="0008732D">
        <w:tc>
          <w:tcPr>
            <w:tcW w:w="2978" w:type="dxa"/>
            <w:vAlign w:val="center"/>
          </w:tcPr>
          <w:p w:rsidR="00DF3EFF" w:rsidRPr="00AB44C7" w:rsidRDefault="00DF3EFF" w:rsidP="0008732D">
            <w:pPr>
              <w:jc w:val="center"/>
              <w:rPr>
                <w:b/>
              </w:rPr>
            </w:pPr>
            <w:r w:rsidRPr="00AB44C7">
              <w:rPr>
                <w:rFonts w:hint="eastAsia"/>
                <w:b/>
              </w:rPr>
              <w:t>書名、封面</w:t>
            </w:r>
          </w:p>
        </w:tc>
        <w:tc>
          <w:tcPr>
            <w:tcW w:w="6520" w:type="dxa"/>
          </w:tcPr>
          <w:p w:rsidR="00DF3EFF" w:rsidRPr="00AB44C7" w:rsidRDefault="00DF3EFF" w:rsidP="005031AE">
            <w:pPr>
              <w:jc w:val="center"/>
              <w:rPr>
                <w:b/>
              </w:rPr>
            </w:pPr>
            <w:r w:rsidRPr="00AB44C7">
              <w:rPr>
                <w:rFonts w:hint="eastAsia"/>
                <w:b/>
              </w:rPr>
              <w:t>內容簡介</w:t>
            </w:r>
          </w:p>
        </w:tc>
      </w:tr>
      <w:tr w:rsidR="00DF3EFF" w:rsidTr="00FB19A3">
        <w:trPr>
          <w:trHeight w:val="2835"/>
        </w:trPr>
        <w:tc>
          <w:tcPr>
            <w:tcW w:w="2978" w:type="dxa"/>
            <w:vAlign w:val="center"/>
          </w:tcPr>
          <w:p w:rsidR="00DF3EFF" w:rsidRPr="003A1D18" w:rsidRDefault="00617942" w:rsidP="0008732D">
            <w:pPr>
              <w:jc w:val="center"/>
              <w:rPr>
                <w:b/>
              </w:rPr>
            </w:pPr>
            <w:r>
              <w:rPr>
                <w:b/>
                <w:noProof/>
              </w:rPr>
              <w:drawing>
                <wp:inline distT="0" distB="0" distL="0" distR="0" wp14:anchorId="1E50240B" wp14:editId="03838DC5">
                  <wp:extent cx="1216438" cy="18000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Image.jpg"/>
                          <pic:cNvPicPr/>
                        </pic:nvPicPr>
                        <pic:blipFill rotWithShape="1">
                          <a:blip r:embed="rId5" cstate="print">
                            <a:extLst>
                              <a:ext uri="{28A0092B-C50C-407E-A947-70E740481C1C}">
                                <a14:useLocalDpi xmlns:a14="http://schemas.microsoft.com/office/drawing/2010/main"/>
                              </a:ext>
                            </a:extLst>
                          </a:blip>
                          <a:srcRect b="-221"/>
                          <a:stretch/>
                        </pic:blipFill>
                        <pic:spPr bwMode="auto">
                          <a:xfrm>
                            <a:off x="0" y="0"/>
                            <a:ext cx="1216438" cy="1800000"/>
                          </a:xfrm>
                          <a:prstGeom prst="rect">
                            <a:avLst/>
                          </a:prstGeom>
                          <a:ln>
                            <a:noFill/>
                          </a:ln>
                          <a:extLst>
                            <a:ext uri="{53640926-AAD7-44D8-BBD7-CCE9431645EC}">
                              <a14:shadowObscured xmlns:a14="http://schemas.microsoft.com/office/drawing/2010/main"/>
                            </a:ext>
                          </a:extLst>
                        </pic:spPr>
                      </pic:pic>
                    </a:graphicData>
                  </a:graphic>
                </wp:inline>
              </w:drawing>
            </w:r>
          </w:p>
        </w:tc>
        <w:tc>
          <w:tcPr>
            <w:tcW w:w="6520" w:type="dxa"/>
            <w:vAlign w:val="center"/>
          </w:tcPr>
          <w:p w:rsidR="00DF3EFF" w:rsidRPr="00FB0921" w:rsidRDefault="00261A27" w:rsidP="00A5105A">
            <w:pPr>
              <w:jc w:val="both"/>
            </w:pPr>
            <w:r>
              <w:rPr>
                <w:rFonts w:hint="eastAsia"/>
              </w:rPr>
              <w:t xml:space="preserve">  </w:t>
            </w:r>
            <w:r w:rsidR="00617942">
              <w:rPr>
                <w:rFonts w:hint="eastAsia"/>
              </w:rPr>
              <w:t>本書書寫了作者陪伴父親走過最後五年的歲月，以日記體方式呈現，共九十六則日記。每一則日記皆蘊藏觸動人心的父女情感，以及未曾想過的暮年情境。作者也從她獨特的治療師觀點──交織個人的故事與個案的傾訴──探索子女照顧父母時，情緒上和實際上的複雜性。</w:t>
            </w:r>
          </w:p>
        </w:tc>
      </w:tr>
      <w:tr w:rsidR="00DF3EFF" w:rsidTr="00FB19A3">
        <w:trPr>
          <w:trHeight w:val="2835"/>
        </w:trPr>
        <w:tc>
          <w:tcPr>
            <w:tcW w:w="2978" w:type="dxa"/>
            <w:vAlign w:val="center"/>
          </w:tcPr>
          <w:p w:rsidR="00DF3EFF" w:rsidRPr="00E35FA0" w:rsidRDefault="0008732D" w:rsidP="0008732D">
            <w:pPr>
              <w:jc w:val="center"/>
            </w:pPr>
            <w:r>
              <w:rPr>
                <w:noProof/>
              </w:rPr>
              <w:drawing>
                <wp:inline distT="0" distB="0" distL="0" distR="0" wp14:anchorId="0CBFE61E" wp14:editId="38EBB895">
                  <wp:extent cx="1134093" cy="1610395"/>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073e6b8f75a47c8820ab9b77e71d6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4653" cy="1611191"/>
                          </a:xfrm>
                          <a:prstGeom prst="rect">
                            <a:avLst/>
                          </a:prstGeom>
                        </pic:spPr>
                      </pic:pic>
                    </a:graphicData>
                  </a:graphic>
                </wp:inline>
              </w:drawing>
            </w:r>
          </w:p>
        </w:tc>
        <w:tc>
          <w:tcPr>
            <w:tcW w:w="6520" w:type="dxa"/>
            <w:shd w:val="clear" w:color="auto" w:fill="auto"/>
            <w:vAlign w:val="center"/>
          </w:tcPr>
          <w:p w:rsidR="0007179C" w:rsidRPr="000C0966" w:rsidRDefault="00261A27" w:rsidP="00261A27">
            <w:pPr>
              <w:jc w:val="both"/>
            </w:pPr>
            <w:r>
              <w:rPr>
                <w:rFonts w:hint="eastAsia"/>
              </w:rPr>
              <w:t xml:space="preserve">  </w:t>
            </w:r>
            <w:r w:rsidR="00BF7D36">
              <w:rPr>
                <w:rFonts w:hint="eastAsia"/>
              </w:rPr>
              <w:t>我要站上甲子園！我要成為棒球界的明日之星！就算這個夢想無法實現也沒有關係，因為有了阿嬤的鼓勵，整個世界就是我的「甲子園」！就算無法實現，還是要懷抱夢想！</w:t>
            </w:r>
          </w:p>
        </w:tc>
      </w:tr>
      <w:tr w:rsidR="00DF3EFF" w:rsidTr="00FB19A3">
        <w:trPr>
          <w:trHeight w:val="2835"/>
        </w:trPr>
        <w:tc>
          <w:tcPr>
            <w:tcW w:w="2978" w:type="dxa"/>
            <w:vAlign w:val="center"/>
          </w:tcPr>
          <w:p w:rsidR="00DF3EFF" w:rsidRDefault="00B710F9" w:rsidP="0008732D">
            <w:pPr>
              <w:jc w:val="center"/>
            </w:pPr>
            <w:r>
              <w:rPr>
                <w:noProof/>
              </w:rPr>
              <w:drawing>
                <wp:inline distT="0" distB="0" distL="0" distR="0" wp14:anchorId="7DDB7EB2" wp14:editId="68985F9C">
                  <wp:extent cx="1128156" cy="1604416"/>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72019538_c80fcd7e68_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9011" cy="1605633"/>
                          </a:xfrm>
                          <a:prstGeom prst="rect">
                            <a:avLst/>
                          </a:prstGeom>
                        </pic:spPr>
                      </pic:pic>
                    </a:graphicData>
                  </a:graphic>
                </wp:inline>
              </w:drawing>
            </w:r>
          </w:p>
        </w:tc>
        <w:tc>
          <w:tcPr>
            <w:tcW w:w="6520" w:type="dxa"/>
            <w:vAlign w:val="center"/>
          </w:tcPr>
          <w:p w:rsidR="00DF3EFF" w:rsidRDefault="00261A27" w:rsidP="00A5105A">
            <w:pPr>
              <w:jc w:val="both"/>
              <w:rPr>
                <w:rFonts w:hint="eastAsia"/>
              </w:rPr>
            </w:pPr>
            <w:r>
              <w:rPr>
                <w:rFonts w:hint="eastAsia"/>
              </w:rPr>
              <w:t xml:space="preserve">  </w:t>
            </w:r>
            <w:r w:rsidR="00B710F9" w:rsidRPr="00B710F9">
              <w:rPr>
                <w:rFonts w:hint="eastAsia"/>
              </w:rPr>
              <w:t>這本書講的是深深影響我們日常生活的六大錯覺：有關注意力、記憶、自信、知識、因果以及潛能六大層面。書中集結各項心理學領域的研究成果，揭發許多日常生活中時而可見但人們卻完全沒有意識到的錯覺與邏輯謬誤。作者舉出許多反直覺性的科學研究證據，告訴我們：「看見」不等於「看到」。我們只看見我們想看見、所預期看到的一面，而遺漏了許多就出現在眼前但卻未進入意識層面的真相。</w:t>
            </w:r>
          </w:p>
          <w:p w:rsidR="00261A27" w:rsidRPr="00FB0921" w:rsidRDefault="00261A27" w:rsidP="00A5105A">
            <w:pPr>
              <w:jc w:val="both"/>
            </w:pPr>
          </w:p>
        </w:tc>
      </w:tr>
      <w:tr w:rsidR="00DF3EFF" w:rsidTr="00FB19A3">
        <w:trPr>
          <w:trHeight w:val="2835"/>
        </w:trPr>
        <w:tc>
          <w:tcPr>
            <w:tcW w:w="2978" w:type="dxa"/>
            <w:vAlign w:val="center"/>
          </w:tcPr>
          <w:p w:rsidR="00DF3EFF" w:rsidRDefault="00316D0B" w:rsidP="0008732D">
            <w:pPr>
              <w:jc w:val="center"/>
            </w:pPr>
            <w:r>
              <w:rPr>
                <w:noProof/>
              </w:rPr>
              <w:drawing>
                <wp:inline distT="0" distB="0" distL="0" distR="0" wp14:anchorId="54E1D283" wp14:editId="7655D84F">
                  <wp:extent cx="1267619" cy="1800000"/>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Imag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7619" cy="1800000"/>
                          </a:xfrm>
                          <a:prstGeom prst="rect">
                            <a:avLst/>
                          </a:prstGeom>
                        </pic:spPr>
                      </pic:pic>
                    </a:graphicData>
                  </a:graphic>
                </wp:inline>
              </w:drawing>
            </w:r>
          </w:p>
        </w:tc>
        <w:tc>
          <w:tcPr>
            <w:tcW w:w="6520" w:type="dxa"/>
            <w:vAlign w:val="center"/>
          </w:tcPr>
          <w:p w:rsidR="0007179C" w:rsidRDefault="00261A27" w:rsidP="00A5105A">
            <w:pPr>
              <w:jc w:val="both"/>
            </w:pPr>
            <w:r>
              <w:rPr>
                <w:rFonts w:hint="eastAsia"/>
              </w:rPr>
              <w:t xml:space="preserve">  </w:t>
            </w:r>
            <w:r w:rsidR="00316D0B" w:rsidRPr="00316D0B">
              <w:rPr>
                <w:rFonts w:hint="eastAsia"/>
              </w:rPr>
              <w:t>鄧惠文醫師再次用細密溫暖的文字書寫成的一封封「情」書，更拍出許多觸動思維與感受的影像，文字之外透過影像傳達更多情感與直覺的訊息。信中跨越時間與空間，詮釋著人和人之間關於愛與關係的思緒，進而衍生看似對立的概念：自由與依戀、個體與連結、探尋與回歸等。引領我們在回望曾經告別的念戀情懷時，能更清晰的思考許多有關「愛」的矛盾存在。</w:t>
            </w:r>
          </w:p>
        </w:tc>
      </w:tr>
      <w:tr w:rsidR="00DF3EFF" w:rsidTr="00FB19A3">
        <w:trPr>
          <w:trHeight w:val="2835"/>
        </w:trPr>
        <w:tc>
          <w:tcPr>
            <w:tcW w:w="2978" w:type="dxa"/>
            <w:vAlign w:val="center"/>
          </w:tcPr>
          <w:p w:rsidR="00DF3EFF" w:rsidRDefault="00B02CCB" w:rsidP="0008732D">
            <w:pPr>
              <w:jc w:val="center"/>
              <w:rPr>
                <w:rFonts w:hint="eastAsia"/>
              </w:rPr>
            </w:pPr>
            <w:r>
              <w:rPr>
                <w:noProof/>
              </w:rPr>
              <w:lastRenderedPageBreak/>
              <w:drawing>
                <wp:inline distT="0" distB="0" distL="0" distR="0" wp14:anchorId="566A9445" wp14:editId="51C700AB">
                  <wp:extent cx="1150331" cy="1632857"/>
                  <wp:effectExtent l="0" t="0" r="0" b="571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20048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3753" cy="1637715"/>
                          </a:xfrm>
                          <a:prstGeom prst="rect">
                            <a:avLst/>
                          </a:prstGeom>
                        </pic:spPr>
                      </pic:pic>
                    </a:graphicData>
                  </a:graphic>
                </wp:inline>
              </w:drawing>
            </w:r>
          </w:p>
          <w:p w:rsidR="00261A27" w:rsidRDefault="00261A27" w:rsidP="0008732D">
            <w:pPr>
              <w:jc w:val="center"/>
              <w:rPr>
                <w:rFonts w:hint="eastAsia"/>
              </w:rPr>
            </w:pPr>
          </w:p>
          <w:p w:rsidR="00261A27" w:rsidRDefault="00261A27" w:rsidP="0008732D">
            <w:pPr>
              <w:jc w:val="center"/>
            </w:pPr>
          </w:p>
        </w:tc>
        <w:tc>
          <w:tcPr>
            <w:tcW w:w="6520" w:type="dxa"/>
            <w:vAlign w:val="center"/>
          </w:tcPr>
          <w:p w:rsidR="00DF3EFF" w:rsidRPr="00CE2FBD" w:rsidRDefault="00261A27" w:rsidP="00A5105A">
            <w:pPr>
              <w:jc w:val="both"/>
              <w:rPr>
                <w:rFonts w:ascii="Times New Roman" w:hAnsi="Times New Roman" w:cs="Times New Roman"/>
              </w:rPr>
            </w:pPr>
            <w:r>
              <w:rPr>
                <w:rFonts w:ascii="Times New Roman" w:hAnsi="Times New Roman" w:cs="Times New Roman" w:hint="eastAsia"/>
              </w:rPr>
              <w:t xml:space="preserve">  </w:t>
            </w:r>
            <w:r w:rsidR="00CE2FBD" w:rsidRPr="00CE2FBD">
              <w:rPr>
                <w:rFonts w:ascii="Times New Roman" w:hAnsi="Times New Roman" w:cs="Times New Roman"/>
              </w:rPr>
              <w:t>在這本令人讚嘆不絕的書中，《紐約客》（</w:t>
            </w:r>
            <w:r w:rsidR="00CE2FBD" w:rsidRPr="00CE2FBD">
              <w:rPr>
                <w:rFonts w:ascii="Times New Roman" w:hAnsi="Times New Roman" w:cs="Times New Roman"/>
              </w:rPr>
              <w:t>The New Yorker</w:t>
            </w:r>
            <w:r w:rsidR="00CE2FBD" w:rsidRPr="00CE2FBD">
              <w:rPr>
                <w:rFonts w:ascii="Times New Roman" w:hAnsi="Times New Roman" w:cs="Times New Roman"/>
              </w:rPr>
              <w:t>）雜誌的專欄作家索羅維基（</w:t>
            </w:r>
            <w:r w:rsidR="00CE2FBD" w:rsidRPr="00CE2FBD">
              <w:rPr>
                <w:rFonts w:ascii="Times New Roman" w:hAnsi="Times New Roman" w:cs="Times New Roman"/>
              </w:rPr>
              <w:t>James Surowiecki</w:t>
            </w:r>
            <w:r w:rsidR="00CE2FBD" w:rsidRPr="00CE2FBD">
              <w:rPr>
                <w:rFonts w:ascii="Times New Roman" w:hAnsi="Times New Roman" w:cs="Times New Roman"/>
              </w:rPr>
              <w:t>），致力探討一個認知上雖很單純，但實質上卻極具複雜度的想法：一大群人比一小群菁英份子，還來得聰明，不論這群菁英份子有多聰慧，前者更擅長解決問題，更能蘊釀出革新，更能做出智慧決策，甚至能更準確地預測未來。</w:t>
            </w:r>
          </w:p>
        </w:tc>
      </w:tr>
      <w:tr w:rsidR="00DF3EFF" w:rsidTr="00FB19A3">
        <w:trPr>
          <w:trHeight w:val="2835"/>
        </w:trPr>
        <w:tc>
          <w:tcPr>
            <w:tcW w:w="2978" w:type="dxa"/>
            <w:vAlign w:val="center"/>
          </w:tcPr>
          <w:p w:rsidR="00DF3EFF" w:rsidRPr="00FB0921" w:rsidRDefault="00DF06BA" w:rsidP="0008732D">
            <w:pPr>
              <w:jc w:val="center"/>
              <w:rPr>
                <w:b/>
              </w:rPr>
            </w:pPr>
            <w:r>
              <w:rPr>
                <w:b/>
                <w:noProof/>
              </w:rPr>
              <w:drawing>
                <wp:inline distT="0" distB="0" distL="0" distR="0" wp14:anchorId="51EFAD09" wp14:editId="72CE1818">
                  <wp:extent cx="1151906" cy="1633909"/>
                  <wp:effectExtent l="0" t="0" r="0" b="444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9953072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2475" cy="1634715"/>
                          </a:xfrm>
                          <a:prstGeom prst="rect">
                            <a:avLst/>
                          </a:prstGeom>
                        </pic:spPr>
                      </pic:pic>
                    </a:graphicData>
                  </a:graphic>
                </wp:inline>
              </w:drawing>
            </w:r>
          </w:p>
        </w:tc>
        <w:tc>
          <w:tcPr>
            <w:tcW w:w="6520" w:type="dxa"/>
            <w:vAlign w:val="center"/>
          </w:tcPr>
          <w:p w:rsidR="00261A27" w:rsidRDefault="00261A27" w:rsidP="00A5105A">
            <w:pPr>
              <w:jc w:val="both"/>
              <w:rPr>
                <w:rFonts w:ascii="Times New Roman" w:hAnsi="Times New Roman" w:cs="Times New Roman" w:hint="eastAsia"/>
              </w:rPr>
            </w:pPr>
            <w:r>
              <w:rPr>
                <w:rFonts w:ascii="Times New Roman" w:hAnsi="Times New Roman" w:cs="Times New Roman" w:hint="eastAsia"/>
              </w:rPr>
              <w:t xml:space="preserve"> </w:t>
            </w:r>
          </w:p>
          <w:p w:rsidR="00261A27" w:rsidRDefault="00261A27" w:rsidP="00A5105A">
            <w:pPr>
              <w:jc w:val="both"/>
              <w:rPr>
                <w:rFonts w:ascii="Times New Roman" w:hAnsi="Times New Roman" w:cs="Times New Roman" w:hint="eastAsia"/>
              </w:rPr>
            </w:pPr>
          </w:p>
          <w:p w:rsidR="001959E6" w:rsidRDefault="00261A27" w:rsidP="00A5105A">
            <w:pPr>
              <w:jc w:val="both"/>
              <w:rPr>
                <w:rFonts w:ascii="Times New Roman" w:hAnsi="Times New Roman" w:cs="Times New Roman" w:hint="eastAsia"/>
              </w:rPr>
            </w:pPr>
            <w:r>
              <w:rPr>
                <w:rFonts w:ascii="Times New Roman" w:hAnsi="Times New Roman" w:cs="Times New Roman" w:hint="eastAsia"/>
              </w:rPr>
              <w:t xml:space="preserve">  </w:t>
            </w:r>
            <w:r w:rsidR="00DF06BA" w:rsidRPr="00A5105A">
              <w:rPr>
                <w:rFonts w:ascii="Times New Roman" w:hAnsi="Times New Roman" w:cs="Times New Roman" w:hint="eastAsia"/>
              </w:rPr>
              <w:t>這是一本醫院實務個案的書，作者以豐富的醫管學經歷，共整理了</w:t>
            </w:r>
            <w:r w:rsidR="00DF06BA" w:rsidRPr="00A5105A">
              <w:rPr>
                <w:rFonts w:ascii="Times New Roman" w:hAnsi="Times New Roman" w:cs="Times New Roman" w:hint="eastAsia"/>
              </w:rPr>
              <w:t>27</w:t>
            </w:r>
            <w:r w:rsidR="00DF06BA" w:rsidRPr="00A5105A">
              <w:rPr>
                <w:rFonts w:ascii="Times New Roman" w:hAnsi="Times New Roman" w:cs="Times New Roman" w:hint="eastAsia"/>
              </w:rPr>
              <w:t>個個案，每個案例都具故事性，與現實生活貼切。故事綜合筆者親歷、目睹、耳聞及部分想像撰成，可作為短篇小說閱讀，也可為學習醫療職場實務的教材。幾乎每篇都表達了一些人生價值的取向。</w:t>
            </w:r>
          </w:p>
          <w:p w:rsidR="00261A27" w:rsidRDefault="00261A27" w:rsidP="00A5105A">
            <w:pPr>
              <w:jc w:val="both"/>
              <w:rPr>
                <w:rFonts w:ascii="Times New Roman" w:hAnsi="Times New Roman" w:cs="Times New Roman" w:hint="eastAsia"/>
              </w:rPr>
            </w:pPr>
          </w:p>
          <w:p w:rsidR="00261A27" w:rsidRPr="00A5105A" w:rsidRDefault="00261A27" w:rsidP="00A5105A">
            <w:pPr>
              <w:jc w:val="both"/>
              <w:rPr>
                <w:rFonts w:ascii="Times New Roman" w:hAnsi="Times New Roman" w:cs="Times New Roman"/>
              </w:rPr>
            </w:pPr>
          </w:p>
        </w:tc>
      </w:tr>
      <w:tr w:rsidR="00DF3EFF" w:rsidTr="00FB19A3">
        <w:trPr>
          <w:trHeight w:val="2835"/>
        </w:trPr>
        <w:tc>
          <w:tcPr>
            <w:tcW w:w="2978" w:type="dxa"/>
            <w:vAlign w:val="center"/>
          </w:tcPr>
          <w:p w:rsidR="00DF3EFF" w:rsidRPr="00FB0921" w:rsidRDefault="00A5105A" w:rsidP="0008732D">
            <w:pPr>
              <w:jc w:val="center"/>
              <w:rPr>
                <w:b/>
              </w:rPr>
            </w:pPr>
            <w:r>
              <w:rPr>
                <w:b/>
                <w:noProof/>
              </w:rPr>
              <w:drawing>
                <wp:inline distT="0" distB="0" distL="0" distR="0" wp14:anchorId="6E1642E6" wp14:editId="6711531C">
                  <wp:extent cx="1128156" cy="1667468"/>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0321549.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128714" cy="1668293"/>
                          </a:xfrm>
                          <a:prstGeom prst="rect">
                            <a:avLst/>
                          </a:prstGeom>
                          <a:ln>
                            <a:noFill/>
                          </a:ln>
                          <a:extLst>
                            <a:ext uri="{53640926-AAD7-44D8-BBD7-CCE9431645EC}">
                              <a14:shadowObscured xmlns:a14="http://schemas.microsoft.com/office/drawing/2010/main"/>
                            </a:ext>
                          </a:extLst>
                        </pic:spPr>
                      </pic:pic>
                    </a:graphicData>
                  </a:graphic>
                </wp:inline>
              </w:drawing>
            </w:r>
          </w:p>
        </w:tc>
        <w:tc>
          <w:tcPr>
            <w:tcW w:w="6520" w:type="dxa"/>
            <w:vAlign w:val="center"/>
          </w:tcPr>
          <w:p w:rsidR="0007179C" w:rsidRDefault="00261A27" w:rsidP="00261A27">
            <w:pPr>
              <w:jc w:val="both"/>
            </w:pPr>
            <w:r>
              <w:rPr>
                <w:rFonts w:hint="eastAsia"/>
              </w:rPr>
              <w:t xml:space="preserve">  </w:t>
            </w:r>
            <w:r w:rsidR="00A5105A">
              <w:rPr>
                <w:rFonts w:hint="eastAsia"/>
              </w:rPr>
              <w:t>脫穎而出，沒有一體適用的方程式，模仿別人，就是埋沒自己既有的獨特潛力！找到並善用自己與生俱來的工作特質，你可以清楚該如何選擇適合自己的職業，應該運用哪些技巧強化這些特質，創造比競爭對手更優越的表現！讓你在任何位子上，都可以發光！</w:t>
            </w:r>
          </w:p>
        </w:tc>
      </w:tr>
      <w:tr w:rsidR="00DF3EFF" w:rsidTr="00FB19A3">
        <w:trPr>
          <w:trHeight w:val="2835"/>
        </w:trPr>
        <w:tc>
          <w:tcPr>
            <w:tcW w:w="2978" w:type="dxa"/>
            <w:vAlign w:val="center"/>
          </w:tcPr>
          <w:p w:rsidR="00DF3EFF" w:rsidRPr="00C7193F" w:rsidRDefault="00712D86" w:rsidP="0008732D">
            <w:pPr>
              <w:jc w:val="center"/>
              <w:rPr>
                <w:b/>
              </w:rPr>
            </w:pPr>
            <w:r>
              <w:rPr>
                <w:b/>
                <w:noProof/>
              </w:rPr>
              <w:drawing>
                <wp:inline distT="0" distB="0" distL="0" distR="0" wp14:anchorId="0337C692" wp14:editId="0DC9879D">
                  <wp:extent cx="1167503" cy="1644733"/>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359312-c6d3-4d11-b4ed-ddbc6f84d27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8528" cy="1646177"/>
                          </a:xfrm>
                          <a:prstGeom prst="rect">
                            <a:avLst/>
                          </a:prstGeom>
                        </pic:spPr>
                      </pic:pic>
                    </a:graphicData>
                  </a:graphic>
                </wp:inline>
              </w:drawing>
            </w:r>
          </w:p>
        </w:tc>
        <w:tc>
          <w:tcPr>
            <w:tcW w:w="6520" w:type="dxa"/>
            <w:vAlign w:val="center"/>
          </w:tcPr>
          <w:p w:rsidR="00261A27" w:rsidRDefault="00261A27" w:rsidP="006614F6">
            <w:pPr>
              <w:jc w:val="both"/>
              <w:rPr>
                <w:rFonts w:hint="eastAsia"/>
              </w:rPr>
            </w:pPr>
          </w:p>
          <w:p w:rsidR="00DF3EFF" w:rsidRDefault="00261A27" w:rsidP="006614F6">
            <w:pPr>
              <w:jc w:val="both"/>
              <w:rPr>
                <w:rFonts w:hint="eastAsia"/>
              </w:rPr>
            </w:pPr>
            <w:r>
              <w:rPr>
                <w:rFonts w:hint="eastAsia"/>
              </w:rPr>
              <w:t xml:space="preserve"> </w:t>
            </w:r>
            <w:bookmarkStart w:id="0" w:name="_GoBack"/>
            <w:bookmarkEnd w:id="0"/>
            <w:r>
              <w:rPr>
                <w:rFonts w:hint="eastAsia"/>
              </w:rPr>
              <w:t xml:space="preserve"> </w:t>
            </w:r>
            <w:r w:rsidR="00712D86" w:rsidRPr="00712D86">
              <w:rPr>
                <w:rFonts w:hint="eastAsia"/>
              </w:rPr>
              <w:t>賴其萬醫師行醫超過四十年，他始終不忘隨時停下來思索：有沒有更好的作法、自己是否謙卑地面對錯誤、怎麼樣激發學生更多的人文關懷。在面對至親老病辭世之際，也從家屬的身分反思醫者之道。賴其萬醫師撰寫本書時，避免醫師本位的立場，而能廣泛地從學醫者、病人與家屬、社會大眾等不同角度省思。因此各層面的讀者都能從中獲得深刻的啟發。</w:t>
            </w:r>
          </w:p>
          <w:p w:rsidR="00261A27" w:rsidRDefault="00261A27" w:rsidP="006614F6">
            <w:pPr>
              <w:jc w:val="both"/>
            </w:pPr>
          </w:p>
        </w:tc>
      </w:tr>
    </w:tbl>
    <w:p w:rsidR="002F5FFC" w:rsidRDefault="002F5FFC"/>
    <w:sectPr w:rsidR="002F5FF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超明體(P)">
    <w:altName w:val="Arial Unicode MS"/>
    <w:charset w:val="88"/>
    <w:family w:val="auto"/>
    <w:pitch w:val="fixed"/>
    <w:sig w:usb0="00000000"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FF"/>
    <w:rsid w:val="0007179C"/>
    <w:rsid w:val="0008732D"/>
    <w:rsid w:val="001959E6"/>
    <w:rsid w:val="00261A27"/>
    <w:rsid w:val="002F5FFC"/>
    <w:rsid w:val="00316D0B"/>
    <w:rsid w:val="00386FAA"/>
    <w:rsid w:val="004936D4"/>
    <w:rsid w:val="005A7CCB"/>
    <w:rsid w:val="00617942"/>
    <w:rsid w:val="006614F6"/>
    <w:rsid w:val="00712D86"/>
    <w:rsid w:val="00720ED3"/>
    <w:rsid w:val="00A5105A"/>
    <w:rsid w:val="00B02CCB"/>
    <w:rsid w:val="00B710F9"/>
    <w:rsid w:val="00BF7D36"/>
    <w:rsid w:val="00CE2FBD"/>
    <w:rsid w:val="00DF06BA"/>
    <w:rsid w:val="00DF3EFF"/>
    <w:rsid w:val="00E32DB2"/>
    <w:rsid w:val="00FB19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3EF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3E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3EF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3E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2</cp:revision>
  <dcterms:created xsi:type="dcterms:W3CDTF">2014-12-15T06:47:00Z</dcterms:created>
  <dcterms:modified xsi:type="dcterms:W3CDTF">2014-12-15T06:47:00Z</dcterms:modified>
</cp:coreProperties>
</file>